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365635" w14:textId="77777777" w:rsidR="003A32C0" w:rsidRDefault="003A32C0" w:rsidP="00DF7F33">
      <w:pPr>
        <w:pStyle w:val="Titolo1"/>
      </w:pPr>
      <w:r w:rsidRPr="003A32C0">
        <w:t>Contesto economico</w:t>
      </w:r>
    </w:p>
    <w:p w14:paraId="04B0F7A7" w14:textId="0669908A" w:rsidR="006E05C1" w:rsidRPr="003A32C0" w:rsidRDefault="006E05C1" w:rsidP="006E05C1">
      <w:pPr>
        <w:rPr>
          <w:b/>
          <w:bCs/>
          <w:sz w:val="24"/>
          <w:szCs w:val="24"/>
        </w:rPr>
      </w:pPr>
      <w:r w:rsidRPr="003A32C0">
        <w:rPr>
          <w:b/>
          <w:bCs/>
          <w:sz w:val="24"/>
          <w:szCs w:val="24"/>
        </w:rPr>
        <w:t>L’</w:t>
      </w:r>
      <w:r>
        <w:rPr>
          <w:b/>
          <w:bCs/>
          <w:sz w:val="24"/>
          <w:szCs w:val="24"/>
        </w:rPr>
        <w:t>economia mondiale</w:t>
      </w:r>
    </w:p>
    <w:p w14:paraId="243C0F13" w14:textId="77777777" w:rsidR="006E05C1" w:rsidRPr="006E05C1" w:rsidRDefault="006E05C1" w:rsidP="006E05C1">
      <w:pPr>
        <w:rPr>
          <w:sz w:val="24"/>
          <w:szCs w:val="24"/>
        </w:rPr>
      </w:pPr>
      <w:r w:rsidRPr="006E05C1">
        <w:rPr>
          <w:sz w:val="24"/>
          <w:szCs w:val="24"/>
        </w:rPr>
        <w:t xml:space="preserve">Secondo il Fondo monetario internazionale (World </w:t>
      </w:r>
      <w:proofErr w:type="spellStart"/>
      <w:r w:rsidRPr="006E05C1">
        <w:rPr>
          <w:sz w:val="24"/>
          <w:szCs w:val="24"/>
        </w:rPr>
        <w:t>Economic</w:t>
      </w:r>
      <w:proofErr w:type="spellEnd"/>
      <w:r w:rsidRPr="006E05C1">
        <w:rPr>
          <w:sz w:val="24"/>
          <w:szCs w:val="24"/>
        </w:rPr>
        <w:t xml:space="preserve"> Outlook, ottobre 2024), nonostante permangano pressioni sui prezzi in alcuni paesi, a livello globale, l’inflazione è stata messa sotto controllo e l’economia reale ha evitato una recessione globale, nonostante il passato brusco irrigidimento delle politiche monetarie. Il successivo allentamento delle politiche monetarie in corso dallo scorso giugno ridarà fiato all’economia globale. La crescita faciliterà un aggiustamento delle politiche fiscali necessario per stabilizzare la dinamica del debito pubblico. </w:t>
      </w:r>
    </w:p>
    <w:p w14:paraId="2F1B15DC" w14:textId="77777777" w:rsidR="006E05C1" w:rsidRPr="006E05C1" w:rsidRDefault="006E05C1" w:rsidP="006E05C1">
      <w:pPr>
        <w:rPr>
          <w:sz w:val="24"/>
          <w:szCs w:val="24"/>
        </w:rPr>
      </w:pPr>
      <w:r w:rsidRPr="006E05C1">
        <w:rPr>
          <w:sz w:val="24"/>
          <w:szCs w:val="24"/>
        </w:rPr>
        <w:t xml:space="preserve">Per il FMI la crescita globale si manterrà stabile al 3,2 nel 2024 e nel 2025 e la dinamica del commercio mondiale, dopo la ripresa di quest’anno (+3,1 per cento), dovrebbe accelerare ulteriormente (+3,4 per cento) nel 2025. </w:t>
      </w:r>
    </w:p>
    <w:p w14:paraId="3D22571D" w14:textId="77777777" w:rsidR="006E05C1" w:rsidRPr="006E05C1" w:rsidRDefault="006E05C1" w:rsidP="006E05C1">
      <w:pPr>
        <w:rPr>
          <w:sz w:val="24"/>
          <w:szCs w:val="24"/>
        </w:rPr>
      </w:pPr>
      <w:r w:rsidRPr="006E05C1">
        <w:rPr>
          <w:sz w:val="24"/>
          <w:szCs w:val="24"/>
        </w:rPr>
        <w:t>Una serie di fattori di rischio potrebbe incidere negativamente su questo scenario, tra questi l’acuirsi dei conflitti regionali in corso, un’eccessiva gradualità nell’allentamento delle politiche monetarie, un rallentamento ulteriore dell’economia cinese, un avvitamento di politiche protezionistiche e l’avvio di una fase di instabilità dei mercati finanziari a seguito di un’eccesiva crescita del debito sovrano.</w:t>
      </w:r>
    </w:p>
    <w:p w14:paraId="6974C43B" w14:textId="77777777" w:rsidR="006E05C1" w:rsidRPr="006E05C1" w:rsidRDefault="006E05C1" w:rsidP="006E05C1">
      <w:pPr>
        <w:rPr>
          <w:sz w:val="24"/>
          <w:szCs w:val="24"/>
        </w:rPr>
      </w:pPr>
      <w:r w:rsidRPr="006E05C1">
        <w:rPr>
          <w:sz w:val="24"/>
          <w:szCs w:val="24"/>
        </w:rPr>
        <w:t>Negli Stati Uniti la rapida crescita del prodotto interno lordo dello scorso anno proseguirà anche nel 2024 (+2,8 per cento), trainata ampiamente dalla domanda interna. Ci si aspetta che la dinamica della crescita rallenti nel 2025 (+2,2 per cento), con il raffreddamento delle condizioni del mercato del lavoro e una politica fiscale meno espansiva. Sulle prospettive dell’andamento economico del prossimo anno incide decisamente l’incertezza relativa alle politiche della prossima amministrazione. che potrebbero condurre a una politica fiscale più espansiva, a una maggiore dinamica dei prezzi e a tassi di interesse più elevati.</w:t>
      </w:r>
    </w:p>
    <w:p w14:paraId="3F98FD53" w14:textId="77777777" w:rsidR="006E05C1" w:rsidRPr="006E05C1" w:rsidRDefault="006E05C1" w:rsidP="006E05C1">
      <w:pPr>
        <w:rPr>
          <w:sz w:val="24"/>
          <w:szCs w:val="24"/>
        </w:rPr>
      </w:pPr>
      <w:r w:rsidRPr="006E05C1">
        <w:rPr>
          <w:sz w:val="24"/>
          <w:szCs w:val="24"/>
        </w:rPr>
        <w:t xml:space="preserve">In Cina le prospettive economiche mostrano segnali di debolezza in quanto un ridotto livello di fiducia, una crescita salariale lenta e la perdurante crisi del settore delle costruzioni comprimono le possibilità di crescita. Il governo cinese ha adottato recentemente un importante pacchetto di misure di stimolo economico di politica monetaria e fiscale, che hanno avuto un riscontro positivo sui mercati, ma di cui resta da vedere il risultato sull’economia reale. Dopo l’ulteriore rallentamento della crescita stimato per il 2024 (+4,8 per cento), si prospetta un’ulteriore decelerazione anche per il 2025 (+4,5 per cento) a fronte della necessità di ribilanciare i fattori di crescita a favore dei consumi interni. </w:t>
      </w:r>
    </w:p>
    <w:p w14:paraId="2726BF8B" w14:textId="6B3B3696" w:rsidR="003A32C0" w:rsidRPr="006E05C1" w:rsidRDefault="006E05C1" w:rsidP="006E05C1">
      <w:pPr>
        <w:rPr>
          <w:sz w:val="24"/>
          <w:szCs w:val="24"/>
        </w:rPr>
      </w:pPr>
      <w:r w:rsidRPr="006E05C1">
        <w:rPr>
          <w:sz w:val="24"/>
          <w:szCs w:val="24"/>
        </w:rPr>
        <w:t xml:space="preserve">In Giappone ci si attende che l’attività economica risulti stagnante nel 2024 (+0,3 per cento), dopo l’exploit dello scorso anno, contenuta dalla domanda interna. Le previsioni sono però orientate verso una ripresa della crescita nel 2025 (+1,1 per cento), grazie al supporto all’aumento dei consumi dato da una sostenuta crescita dei salari. Ciò nonostante, l’inflazione dovrebbe rientrare al di sotto del 2 per cento. L’elevato deficit pubblico aumenterà ulteriormente quest’anno, anche per un netto aumento delle spese militari, e riprenderà a ridursi dal 2025. </w:t>
      </w:r>
    </w:p>
    <w:p w14:paraId="4BCD4DA0" w14:textId="6AAAF734" w:rsidR="003A32C0" w:rsidRPr="003A32C0" w:rsidRDefault="003A32C0" w:rsidP="003A32C0">
      <w:pPr>
        <w:rPr>
          <w:sz w:val="24"/>
          <w:szCs w:val="24"/>
        </w:rPr>
      </w:pPr>
    </w:p>
    <w:p w14:paraId="5120E747" w14:textId="5441F8DE" w:rsidR="003A32C0" w:rsidRPr="003A32C0" w:rsidRDefault="006E05C1" w:rsidP="003A32C0">
      <w:pPr>
        <w:rPr>
          <w:b/>
          <w:bCs/>
          <w:sz w:val="24"/>
          <w:szCs w:val="24"/>
        </w:rPr>
      </w:pPr>
      <w:r w:rsidRPr="006E05C1">
        <w:rPr>
          <w:b/>
          <w:bCs/>
          <w:sz w:val="24"/>
          <w:szCs w:val="24"/>
        </w:rPr>
        <w:t>L’Unione europea</w:t>
      </w:r>
    </w:p>
    <w:p w14:paraId="44B09B33" w14:textId="77777777" w:rsidR="006E05C1" w:rsidRPr="006E05C1" w:rsidRDefault="006E05C1" w:rsidP="006E05C1">
      <w:pPr>
        <w:rPr>
          <w:sz w:val="24"/>
          <w:szCs w:val="24"/>
        </w:rPr>
      </w:pPr>
      <w:r w:rsidRPr="006E05C1">
        <w:rPr>
          <w:sz w:val="24"/>
          <w:szCs w:val="24"/>
        </w:rPr>
        <w:t xml:space="preserve">Secondo le previsioni economiche di autunno della Commissione europea, la crescita del prodotto interno lordo dell’Unione europea dovrebbe riprendere nel 2024 </w:t>
      </w:r>
      <w:r w:rsidRPr="006E05C1">
        <w:rPr>
          <w:sz w:val="24"/>
          <w:szCs w:val="24"/>
        </w:rPr>
        <w:lastRenderedPageBreak/>
        <w:t xml:space="preserve">(+0,9 per cento) e aumentare ancora nel 2025 (+1,5 per cento), grazie a un’accelerazione dei consumi e a una ripresa degli investimenti, dopo la contrazione che questi subiranno nel 2024. </w:t>
      </w:r>
    </w:p>
    <w:p w14:paraId="463EC400" w14:textId="77777777" w:rsidR="006E05C1" w:rsidRPr="006E05C1" w:rsidRDefault="006E05C1" w:rsidP="006E05C1">
      <w:pPr>
        <w:rPr>
          <w:sz w:val="24"/>
          <w:szCs w:val="24"/>
        </w:rPr>
      </w:pPr>
      <w:r w:rsidRPr="006E05C1">
        <w:rPr>
          <w:sz w:val="24"/>
          <w:szCs w:val="24"/>
        </w:rPr>
        <w:t xml:space="preserve">Nonostante alcune oscillazioni il processo di rientro dell’inflazione ha progredito decisamente nel corso del 2024 (+2,6 per cento), quando si ridurrà a meno della metà rispetto al 6,4 dell’anno precedente, e proseguirà gradualmente nel 2025 (+2,4 per cento). </w:t>
      </w:r>
    </w:p>
    <w:p w14:paraId="70F210FC" w14:textId="77777777" w:rsidR="006E05C1" w:rsidRPr="006E05C1" w:rsidRDefault="006E05C1" w:rsidP="006E05C1">
      <w:pPr>
        <w:rPr>
          <w:sz w:val="24"/>
          <w:szCs w:val="24"/>
        </w:rPr>
      </w:pPr>
      <w:r w:rsidRPr="006E05C1">
        <w:rPr>
          <w:sz w:val="24"/>
          <w:szCs w:val="24"/>
        </w:rPr>
        <w:t xml:space="preserve">In ottobre la Banca centrale europea ha ridotto il tasso di intervento per la terza volta dopo l’avvio nello scorso maggio della fase di allentamento e le banche centrali dei paesi dell’Unione non facenti parte dell’area dell’euro stanno allentando la politica monetaria. </w:t>
      </w:r>
    </w:p>
    <w:p w14:paraId="11827D59" w14:textId="77777777" w:rsidR="006E05C1" w:rsidRPr="006E05C1" w:rsidRDefault="006E05C1" w:rsidP="006E05C1">
      <w:pPr>
        <w:rPr>
          <w:sz w:val="24"/>
          <w:szCs w:val="24"/>
        </w:rPr>
      </w:pPr>
      <w:r w:rsidRPr="006E05C1">
        <w:rPr>
          <w:sz w:val="24"/>
          <w:szCs w:val="24"/>
        </w:rPr>
        <w:t xml:space="preserve">L’occupazione continua ad aumentare, anche se con una dinamica in rallentamento, e il tasso di disoccupazione si ridurrà ulteriormente nell’Unione fino al 5,9 per cento nel 2025 e più rapidamente nei paesi dell’area dell’euro, dove resterà però più elevato (6,3 per cento). </w:t>
      </w:r>
    </w:p>
    <w:p w14:paraId="560F8517" w14:textId="77777777" w:rsidR="006E05C1" w:rsidRPr="006E05C1" w:rsidRDefault="006E05C1" w:rsidP="006E05C1">
      <w:pPr>
        <w:rPr>
          <w:sz w:val="24"/>
          <w:szCs w:val="24"/>
        </w:rPr>
      </w:pPr>
      <w:r w:rsidRPr="006E05C1">
        <w:rPr>
          <w:sz w:val="24"/>
          <w:szCs w:val="24"/>
        </w:rPr>
        <w:t xml:space="preserve">L’aumento del reddito disponibile reale renderà possibile alle famiglie di ridurre il tasso di risparmio e sosterrà una lieve accelerazione della crescita dei consumi fino all’1,2 per cento nel 2024 e all’1,4 per cento nel 2025. I buoni bilanci delle imprese, la ripresa dei profitti, il miglioramento delle condizioni creditizie e l’impulso del Recovery and Resilience Facility permetteranno il recupero degli investimenti nel 2025 (+2,1 per cento), dopo la contrazione che subiranno nel 2024 (-1,6 per cento). </w:t>
      </w:r>
    </w:p>
    <w:p w14:paraId="2C71A151" w14:textId="77777777" w:rsidR="006E05C1" w:rsidRPr="006E05C1" w:rsidRDefault="006E05C1" w:rsidP="006E05C1">
      <w:pPr>
        <w:rPr>
          <w:sz w:val="24"/>
          <w:szCs w:val="24"/>
        </w:rPr>
      </w:pPr>
      <w:r w:rsidRPr="006E05C1">
        <w:rPr>
          <w:sz w:val="24"/>
          <w:szCs w:val="24"/>
        </w:rPr>
        <w:t xml:space="preserve">Una moderata crescita globale e un’accelerazione del commercio mondiale sosterranno la domanda estera che porterà ad un aumento delle esportazioni dell’1,4 per cento quest’anno e del 2,2 per cento nel 2025, quando con la ripresa dell’attività anche la dinamica delle importazioni salirà al 2,6 per cento. </w:t>
      </w:r>
    </w:p>
    <w:p w14:paraId="1E4671BA" w14:textId="77777777" w:rsidR="006E05C1" w:rsidRPr="006E05C1" w:rsidRDefault="006E05C1" w:rsidP="006E05C1">
      <w:pPr>
        <w:rPr>
          <w:sz w:val="24"/>
          <w:szCs w:val="24"/>
        </w:rPr>
      </w:pPr>
      <w:r w:rsidRPr="006E05C1">
        <w:rPr>
          <w:sz w:val="24"/>
          <w:szCs w:val="24"/>
        </w:rPr>
        <w:t xml:space="preserve">Ci si attende una diminuzione del disavanzo pubblico generale al 3,1 per cento del prodotto interno lordo quest’anno, ma nel 2025 l’ulteriore diminuzione risulterà marginale, facendo scende il rapporto solo al 3,0 per cento. Nelle proiezioni il rapporto tra debito lordo delle pubbliche amministrazioni e pil tenderà ad aumentare leggermente passando dall’82,1 per cento del 2023 all’83,0 per cento nel 2025 per effetto del permanere di deficit elevati che non sono controbilanciati da una rapida crescita dell’attività e aggravati dall’impatto sulla spesa per interessi di tassi ancora elevati. </w:t>
      </w:r>
    </w:p>
    <w:p w14:paraId="79A3DDBE" w14:textId="0F85A31F" w:rsidR="003A32C0" w:rsidRPr="003A32C0" w:rsidRDefault="006E05C1" w:rsidP="006E05C1">
      <w:pPr>
        <w:rPr>
          <w:sz w:val="24"/>
          <w:szCs w:val="24"/>
        </w:rPr>
      </w:pPr>
      <w:r w:rsidRPr="006E05C1">
        <w:rPr>
          <w:sz w:val="24"/>
          <w:szCs w:val="24"/>
        </w:rPr>
        <w:t>Il prodotto interno lordo in Germania dovrebbe ridursi anche nel 2024 (-0,1 per cento), dopo la flessione dello scorso anno, ma dovrebbe riprendere a crescere nel 2025 (+0,7 per cento), pur senza uscire dalle difficoltà del suo modello di sviluppo. Al contrario l’attività dovrebbe avere accelerato leggermente in Francia nel 2024 (+1,1 per cento), sostenuta dalla spesa pubblica (con un deficit pari al 6,2 per cento del Pil) e dal commercio estero, ma le esigenze dell’aggiustamento fiscale ne rallenteranno la dinamica nel 2025 (+0,8 per cento). Il prodotto interno lordo spagnolo dovrebbe crescere decisamente nel 2024 (+3,0 per cento), sostenuto dai consumi e dagli investimenti, ma la sua dinamica dovrebbe rallentare nel 2025 (+2,3 per cento), frenata dal riequilibrio del bilancio pubblico.</w:t>
      </w:r>
    </w:p>
    <w:p w14:paraId="749A3D57" w14:textId="77777777" w:rsidR="003A32C0" w:rsidRPr="003A32C0" w:rsidRDefault="003A32C0" w:rsidP="003A32C0">
      <w:pPr>
        <w:rPr>
          <w:sz w:val="24"/>
          <w:szCs w:val="24"/>
        </w:rPr>
      </w:pPr>
    </w:p>
    <w:p w14:paraId="52A50212" w14:textId="77777777" w:rsidR="003A32C0" w:rsidRPr="003A32C0" w:rsidRDefault="003A32C0" w:rsidP="003A32C0">
      <w:pPr>
        <w:rPr>
          <w:b/>
          <w:bCs/>
          <w:sz w:val="24"/>
          <w:szCs w:val="24"/>
        </w:rPr>
      </w:pPr>
      <w:r w:rsidRPr="003A32C0">
        <w:rPr>
          <w:b/>
          <w:bCs/>
          <w:sz w:val="24"/>
          <w:szCs w:val="24"/>
        </w:rPr>
        <w:t>L’Italia</w:t>
      </w:r>
    </w:p>
    <w:p w14:paraId="3F9C1EB8" w14:textId="77777777" w:rsidR="00ED1062" w:rsidRPr="00ED1062" w:rsidRDefault="00ED1062" w:rsidP="00ED1062">
      <w:pPr>
        <w:rPr>
          <w:sz w:val="24"/>
          <w:szCs w:val="24"/>
        </w:rPr>
      </w:pPr>
      <w:r w:rsidRPr="00ED1062">
        <w:rPr>
          <w:sz w:val="24"/>
          <w:szCs w:val="24"/>
        </w:rPr>
        <w:t xml:space="preserve">Il rallentamento dell’attività economica nella seconda metà dell’anno, secondo Prometeia, limiterà la crescita del prodotto interno lordo nel 2024 allo 0,5 per cento, frenata dalla stasi dei consumi, dalla flessione degli investimenti industriali a seguito dell’incertezza e della caduta della produzione, dal contenimento degli incentivi pubblici al settore delle costruzioni e dalle esigenze di riequilibrio del bilancio pubblico. Una lieve ripresa dei consumi e una ripartenza più sostenuta degli investimenti </w:t>
      </w:r>
      <w:r w:rsidRPr="00ED1062">
        <w:rPr>
          <w:sz w:val="24"/>
          <w:szCs w:val="24"/>
        </w:rPr>
        <w:lastRenderedPageBreak/>
        <w:t xml:space="preserve">industriali e delle esportazioni, oltre all’apporto degli investimenti pubblici in infrastrutture, controbilanceranno il peso della caduta degli investimenti in abitazioni dovuto alla riduzione dei “superbonus” e permetteranno una lieve accelerazione della crescita del Pil nel 2025 (+0,7 per cento). </w:t>
      </w:r>
    </w:p>
    <w:p w14:paraId="6353615E" w14:textId="77777777" w:rsidR="00ED1062" w:rsidRPr="00ED1062" w:rsidRDefault="00ED1062" w:rsidP="00ED1062">
      <w:pPr>
        <w:rPr>
          <w:sz w:val="24"/>
          <w:szCs w:val="24"/>
        </w:rPr>
      </w:pPr>
      <w:r w:rsidRPr="00ED1062">
        <w:rPr>
          <w:sz w:val="24"/>
          <w:szCs w:val="24"/>
        </w:rPr>
        <w:t xml:space="preserve">I consumi delle famiglie dovrebbero restare invariati nel 2024, mentre le famiglie stanno ricostituendo il livello dei risparmi eroso dall’inflazione, poi la ripresa del reddito disponibile reale ne permetterà un lieve aumento nel 2025. </w:t>
      </w:r>
    </w:p>
    <w:p w14:paraId="10CB3BE7" w14:textId="77777777" w:rsidR="00ED1062" w:rsidRPr="00ED1062" w:rsidRDefault="00ED1062" w:rsidP="00ED1062">
      <w:pPr>
        <w:rPr>
          <w:sz w:val="24"/>
          <w:szCs w:val="24"/>
        </w:rPr>
      </w:pPr>
      <w:r w:rsidRPr="00ED1062">
        <w:rPr>
          <w:sz w:val="24"/>
          <w:szCs w:val="24"/>
        </w:rPr>
        <w:t xml:space="preserve">Nel 2024 gli investimenti dovrebbero aumentare ancora, ma solo lievemente (+0,7 per cento), compensando la flessione degli investimenti industriali dovuta al ciclo negativo con la coda della tendenza positiva di quelli in costruzioni. Al contrario, nel 2025 si avrà una flessione degli investimenti in costruzioni, guidata da quelli abitativi, che si contrapporrà a una ripresa degli investimenti industriali, sostenuta dalla ripresa dell’attività e da sostegni fiscali. Nel complesso gli investimenti rimarranno stazionari, gravati anche dalla crescente incertezza sulle politiche commerciali a livello globale. </w:t>
      </w:r>
    </w:p>
    <w:p w14:paraId="5FC5BDD8" w14:textId="77777777" w:rsidR="00ED1062" w:rsidRPr="00ED1062" w:rsidRDefault="00ED1062" w:rsidP="00ED1062">
      <w:pPr>
        <w:rPr>
          <w:sz w:val="24"/>
          <w:szCs w:val="24"/>
        </w:rPr>
      </w:pPr>
      <w:r w:rsidRPr="00ED1062">
        <w:rPr>
          <w:sz w:val="24"/>
          <w:szCs w:val="24"/>
        </w:rPr>
        <w:t xml:space="preserve">Nonostante la ripresa del commercio mondiale, la debolezza del ciclo economico in Europa, in particolare in Germania, condurrà a una stagnazione delle esportazioni di beni e servizi nel 2024, anche con l’apporto derivante dal buon andamento del turismo. La crescita del commercio mondiale e il miglioramento del ciclo economico in Europa dovrebbero favorire una ripresa delle esportazioni nel 2025 (+1,7 per cento). Una previsione che resta assai esposta al rischio dell’applicazione di dazi doganali da parte della nuova amministrazione statunitense. </w:t>
      </w:r>
    </w:p>
    <w:p w14:paraId="4010F8C3" w14:textId="77777777" w:rsidR="00ED1062" w:rsidRPr="00ED1062" w:rsidRDefault="00ED1062" w:rsidP="00ED1062">
      <w:pPr>
        <w:rPr>
          <w:sz w:val="24"/>
          <w:szCs w:val="24"/>
        </w:rPr>
      </w:pPr>
      <w:r w:rsidRPr="00ED1062">
        <w:rPr>
          <w:sz w:val="24"/>
          <w:szCs w:val="24"/>
        </w:rPr>
        <w:t xml:space="preserve">A fronte dell’inflazione passata, in Italia il recupero salariale è stato modesto e non ci si attende che acceleri. In precedenza, i margini di profitto hanno tratto vantaggio dall’inflazione, ma ora risultano in diminuzione con la discesa dell’inflazione, che in particolare per i prezzi alla produzione è divenuta deflazione. Quindi nel 2024 la dinamica dei prezzi al consumo dovrebbe ridursi decisamente (+1,1 per cento), tanto da prospettare un lieve rimbalzo nel 2025 (+1,7 per cento). Ma dopo quattro anni il livello dei prezzi al consumo dovrebbe risultare superiore del 20 per cento rispetto a quello del gennaio 2021. </w:t>
      </w:r>
    </w:p>
    <w:p w14:paraId="66241CE4" w14:textId="77777777" w:rsidR="00ED1062" w:rsidRPr="00ED1062" w:rsidRDefault="00ED1062" w:rsidP="00ED1062">
      <w:pPr>
        <w:rPr>
          <w:sz w:val="24"/>
          <w:szCs w:val="24"/>
        </w:rPr>
      </w:pPr>
      <w:r w:rsidRPr="00ED1062">
        <w:rPr>
          <w:sz w:val="24"/>
          <w:szCs w:val="24"/>
        </w:rPr>
        <w:t xml:space="preserve">Il mercato del lavoro rimane solido. Nel 2024 il tasso di disoccupazione scenderà al 6,9 per cento e l’occupazione continuerà ad aumentare (+1,3 per cento), grazie alla riduzione dei disoccupati e degli inattivi. Tenuto conto della diminuzione della popolazione in età da lavoro, non è detto che queste tendenze possano proseguire, tanto che per il 2025 ci si attende una stagnazione dell’occupazione (+0,1 per cento) e un lieve rimbalzo del tasso di disoccupazione (7,0 per cento). </w:t>
      </w:r>
    </w:p>
    <w:p w14:paraId="3DE69A4B" w14:textId="12753EAF" w:rsidR="003A32C0" w:rsidRPr="003A32C0" w:rsidRDefault="00ED1062" w:rsidP="00ED1062">
      <w:pPr>
        <w:rPr>
          <w:sz w:val="24"/>
          <w:szCs w:val="24"/>
        </w:rPr>
      </w:pPr>
      <w:r w:rsidRPr="00ED1062">
        <w:rPr>
          <w:sz w:val="24"/>
          <w:szCs w:val="24"/>
        </w:rPr>
        <w:t>Dopo il pesante disavanzo 2023, pari al 7,2 per cento del Pil, il rapporto dovrebbe ridursi al 4,0 per cento nel 2024, grazie all’uscita dalle misure di emergenza, ma poi non dovrebbe scendere di molto nel 2025 (3,7 per cento), tenuto conto della maggiore e crescente spesa per interessi passivi che imporrà un notevole miglioramento del saldo primario, considerato che si intende puntare a un ritorno al di sotto del 3 per cento nel 2026. Dopo una fase di riduzione del debito pubblico tra il 2020 e il 2023, si prevede torni nuovamente a crescere, anche per la contabilizzazione ai fini del calcolo del debito dei crediti fiscali edilizi secondo il criterio di cassa, passando dal 134,8 dello scorso anno al 137,5 nel 2024, per poi salire ulteriormente al 139,6 nel 2025.</w:t>
      </w:r>
    </w:p>
    <w:p w14:paraId="4745F3CB" w14:textId="77777777" w:rsidR="003A32C0" w:rsidRPr="003A32C0" w:rsidRDefault="003A32C0" w:rsidP="003A32C0">
      <w:pPr>
        <w:rPr>
          <w:sz w:val="24"/>
          <w:szCs w:val="24"/>
        </w:rPr>
      </w:pPr>
      <w:bookmarkStart w:id="0" w:name="_Hlk36660835"/>
      <w:bookmarkStart w:id="1" w:name="_Hlk95823493"/>
    </w:p>
    <w:p w14:paraId="58500E0E" w14:textId="77777777" w:rsidR="003A32C0" w:rsidRPr="00095DCB" w:rsidRDefault="003A32C0" w:rsidP="003A32C0">
      <w:pPr>
        <w:rPr>
          <w:b/>
          <w:bCs/>
          <w:color w:val="C00000"/>
          <w:sz w:val="24"/>
          <w:szCs w:val="24"/>
        </w:rPr>
      </w:pPr>
      <w:bookmarkStart w:id="2" w:name="OLE_LINK1"/>
      <w:bookmarkEnd w:id="0"/>
      <w:bookmarkEnd w:id="1"/>
      <w:r w:rsidRPr="00095DCB">
        <w:rPr>
          <w:b/>
          <w:bCs/>
          <w:color w:val="C00000"/>
          <w:sz w:val="24"/>
          <w:szCs w:val="24"/>
        </w:rPr>
        <w:t>L’economia regionale</w:t>
      </w:r>
      <w:bookmarkEnd w:id="2"/>
    </w:p>
    <w:p w14:paraId="4D2B6750" w14:textId="77777777" w:rsidR="005A7DB6" w:rsidRPr="005A7DB6" w:rsidRDefault="005A7DB6" w:rsidP="005A7DB6">
      <w:pPr>
        <w:rPr>
          <w:sz w:val="24"/>
          <w:szCs w:val="24"/>
        </w:rPr>
      </w:pPr>
      <w:r w:rsidRPr="005A7DB6">
        <w:rPr>
          <w:sz w:val="24"/>
          <w:szCs w:val="24"/>
        </w:rPr>
        <w:t xml:space="preserve">Nelle stime più recenti la crescita del prodotto interno lordo dovrebbe mantenersi stabile nel 2024 (+0,9 per cento), sostenuta dall’aumento dell’occupazione e dagli investimenti. La crescita economica dovrebbe proseguire allo stesso ritmo anche nel 2025, quando il Pil dovrebbe continuare a salire trainato dai consumi e dalla domanda estera, nonostante il calo degli investimenti. Nel lungo periodo, il Pil regionale in termini </w:t>
      </w:r>
      <w:r w:rsidRPr="005A7DB6">
        <w:rPr>
          <w:sz w:val="24"/>
          <w:szCs w:val="24"/>
        </w:rPr>
        <w:lastRenderedPageBreak/>
        <w:t xml:space="preserve">reali nel 2024 dovrebbe risultare superiore di solo il 5,7 per cento rispetto al massimo toccato prima della crisi finanziaria nel 2007 e superiore del 16,6 per cento rispetto a quello del 2000. Nel lungo periodo l’andamento dell’economia regionale appare migliore rispetto a quello nazionale, ma non sostanzialmente. Il Pil italiano in termini reali nel 2024 risulterà superiore di solo lo 0,4 per cento rispetto a quello del 2007 e dell’8,5 per cento rispetto al livello del 2000. </w:t>
      </w:r>
    </w:p>
    <w:p w14:paraId="15273D69" w14:textId="77777777" w:rsidR="005A7DB6" w:rsidRPr="005A7DB6" w:rsidRDefault="005A7DB6" w:rsidP="005A7DB6">
      <w:pPr>
        <w:rPr>
          <w:sz w:val="24"/>
          <w:szCs w:val="24"/>
        </w:rPr>
      </w:pPr>
      <w:r w:rsidRPr="005A7DB6">
        <w:rPr>
          <w:sz w:val="24"/>
          <w:szCs w:val="24"/>
        </w:rPr>
        <w:t xml:space="preserve">Nel 2024, la crescita italiana sarà “trainata” dalle regioni del nord est (+0,9 per cento) e nella classifica della crescita delle regioni italiane l’Emilia-Romagna dovrebbe risultare prima a pari merito con l’Umbria e la Sicilia, davanti a Lombardia e Veneto (+0,8 per cento per entrambe). Nel 2025 la classifica per livello di crescita economica delle regioni italiane sarà guidata dalla Lombardia (+1,0 per cento), subito seguita da Emilia-Romagna, Veneto e Sicilia (+0,9 per cento). </w:t>
      </w:r>
    </w:p>
    <w:p w14:paraId="1D6B945A" w14:textId="77777777" w:rsidR="005A7DB6" w:rsidRPr="005A7DB6" w:rsidRDefault="005A7DB6" w:rsidP="005A7DB6">
      <w:pPr>
        <w:rPr>
          <w:sz w:val="24"/>
          <w:szCs w:val="24"/>
        </w:rPr>
      </w:pPr>
      <w:r w:rsidRPr="005A7DB6">
        <w:rPr>
          <w:sz w:val="24"/>
          <w:szCs w:val="24"/>
        </w:rPr>
        <w:t xml:space="preserve">Nel 2024 la crescita dei consumi delle famiglie (+0,6 per cento) scenderà al disotto della dinamica del Pil, per la contenuta dinamica dei redditi reali, l’aumento della disuguaglianza e anche per il tentativo delle famiglie di ricostituire il livello dei risparmi eroso dall’inflazione. Nelle stime si prospetta un riallineamento della dinamica delle due variabili nel 2025 (+0,9 per cento). </w:t>
      </w:r>
    </w:p>
    <w:p w14:paraId="432704CE" w14:textId="77777777" w:rsidR="005A7DB6" w:rsidRPr="005A7DB6" w:rsidRDefault="005A7DB6" w:rsidP="005A7DB6">
      <w:pPr>
        <w:rPr>
          <w:sz w:val="24"/>
          <w:szCs w:val="24"/>
        </w:rPr>
      </w:pPr>
      <w:r w:rsidRPr="005A7DB6">
        <w:rPr>
          <w:sz w:val="24"/>
          <w:szCs w:val="24"/>
        </w:rPr>
        <w:t>Gli effetti sul tenore di vita della riduzione del reddito disponibile determinato dall’inflazione passata e dell’aumento delle disuguaglianze sono evidenti. Nel 2024 i consumi privati aggregati risulteranno solo lievemente superiori (+1,2 per cento) rispetto a quelli del 2019, ovvero a quelli antecedenti la pandemia, e superiori di solo 9,4 punti percentuali rispetto al livello del 2000. Inoltre, rispetto a quell’anno la crescita dei consumi in regione risulterà inferiore di oltre sette punti percentuali rispetto a quella del Pil. È importante ricordare che rispetto ad allora, il dato complessivo cela anche un notevole aumento della diseguaglianza tra specifiche categorie professionali e settori sociali, per alcune delle quali non vi è stata crescita dei consumi.</w:t>
      </w:r>
    </w:p>
    <w:p w14:paraId="4AF030F2" w14:textId="77777777" w:rsidR="005A7DB6" w:rsidRPr="005A7DB6" w:rsidRDefault="005A7DB6" w:rsidP="005A7DB6">
      <w:pPr>
        <w:rPr>
          <w:sz w:val="24"/>
          <w:szCs w:val="24"/>
        </w:rPr>
      </w:pPr>
      <w:r w:rsidRPr="005A7DB6">
        <w:rPr>
          <w:sz w:val="24"/>
          <w:szCs w:val="24"/>
        </w:rPr>
        <w:t xml:space="preserve">Nonostante un lieve allentamento della politica monetaria, in un quadro di notevole incertezza sia economica che geopolitica, con il contenimento dei massicci sostegni pubblici, in particolare, a favore delle costruzioni, la dinamica degli investimenti fissi lordi nel 2024 risulterà più contenuta (+2,9 per cento), ma ancora trainerà la crescita. Nonostante l’attesa discesa dei tassi di interesse, la riduzione dei sostegni pubblici, in particolare, dei “bonus” a favore delle costruzioni, condurrà a un vero e proprio arretramento del processo di accumulazione nel 2025 (-1,6 per cento). </w:t>
      </w:r>
    </w:p>
    <w:p w14:paraId="7B929325" w14:textId="77777777" w:rsidR="005A7DB6" w:rsidRPr="005A7DB6" w:rsidRDefault="005A7DB6" w:rsidP="005A7DB6">
      <w:pPr>
        <w:rPr>
          <w:sz w:val="24"/>
          <w:szCs w:val="24"/>
        </w:rPr>
      </w:pPr>
      <w:r w:rsidRPr="005A7DB6">
        <w:rPr>
          <w:sz w:val="24"/>
          <w:szCs w:val="24"/>
        </w:rPr>
        <w:t>Anche l’evoluzione del processo di accumulazione appare debole su un periodo di tempo più lungo. Nonostante la crescita recente, nel 2024 gli investimenti in termini reali risulteranno superiori di solo l’1,3 per cento rispetto a quelli del 2008, ovvero a quelli precedenti al declino del settore delle costruzioni, e supereranno solo del 21,4 per cento quelli del 2000. Però, nel lungo periodo, dal 2000, la crescita degli investimenti è risultata superiore a quella del Pil di quasi 5 punti percentuali e di 12 punti percentuali più elevata di quella dei consumi.</w:t>
      </w:r>
    </w:p>
    <w:p w14:paraId="20581531" w14:textId="4123ED79" w:rsidR="003A32C0" w:rsidRDefault="005A7DB6" w:rsidP="005A7DB6">
      <w:pPr>
        <w:rPr>
          <w:sz w:val="24"/>
          <w:szCs w:val="24"/>
        </w:rPr>
      </w:pPr>
      <w:r w:rsidRPr="005A7DB6">
        <w:rPr>
          <w:sz w:val="24"/>
          <w:szCs w:val="24"/>
        </w:rPr>
        <w:t>Nonostante la ripresa del commercio mondiale nel 2024 le esportazioni regionali dovrebbero registrare un arretramento (-0,9 per cento), connesso alla stasi dell’economica della Germania, ma nel 2025, grazie a una più solida ripresa del commercio mondiale, la crescita delle vendite all’estero riprenderà a un ritmo consistente (+2,5 per cento). Al termine del 2024 il valore reale delle esportazioni regionali dovrebbe risultare superiore addirittura del 90,4 per cento rispetto al livello del 2000 e del 37,8 per cento rispetto a quello del 2007. Si tratta di un chiaro indicatore dell’importanza assunta dai mercati esteri per l’economia regionale, ma anche della maggiore dipendenza dell’economia regionale dai mercati esteri per sostenere l’attività e i redditi regionali a fronte di una minore capacità di produrre valore aggiunto dall’attività svolta per l’esportazione.</w:t>
      </w:r>
    </w:p>
    <w:p w14:paraId="63FC6B18" w14:textId="77777777" w:rsidR="005A7DB6" w:rsidRPr="005A7DB6" w:rsidRDefault="005A7DB6" w:rsidP="005A7DB6">
      <w:pPr>
        <w:rPr>
          <w:sz w:val="24"/>
          <w:szCs w:val="24"/>
        </w:rPr>
      </w:pPr>
      <w:r w:rsidRPr="005A7DB6">
        <w:rPr>
          <w:sz w:val="24"/>
          <w:szCs w:val="24"/>
        </w:rPr>
        <w:lastRenderedPageBreak/>
        <w:t xml:space="preserve">Nonostante il depotenziamento dei bonus e l’elevato costo dei finanziamenti, nel 2024 saranno di nuovo le costruzioni a trainare l’aumento del valore aggiunto reale regionale, che sarà sostenuto anche dai servizi e dall’agricoltura, mentre si accentua la fase di arretramento per l’industria. Nel 2025, invece, si avrà una moderata ripresa dell’attività industriale e accelererà la crescita dei servizi, mentre sarà il settore delle costruzioni a entrare in una fase di decisa recessione. </w:t>
      </w:r>
    </w:p>
    <w:p w14:paraId="65A5536E" w14:textId="77777777" w:rsidR="005A7DB6" w:rsidRPr="005A7DB6" w:rsidRDefault="005A7DB6" w:rsidP="005A7DB6">
      <w:pPr>
        <w:rPr>
          <w:sz w:val="24"/>
          <w:szCs w:val="24"/>
        </w:rPr>
      </w:pPr>
      <w:r w:rsidRPr="005A7DB6">
        <w:rPr>
          <w:sz w:val="24"/>
          <w:szCs w:val="24"/>
        </w:rPr>
        <w:t xml:space="preserve">In dettaglio, con la lenta ripresa della domanda estera e quindi delle esportazioni e la debolezza della domanda interna nazionale nel 2024 il valore aggiunto reale prodotto dall’industria in senso stretto regionale subirà un nuovo arretramento che sarà più ampio di quello dello scorso anno (-1,0 per cento). Nel 2025, nonostante lo stop alla crescita della domanda interna nazionale, sarà la ripresa del commercio mondiale a sostenere l’attività industriale e una contenuta crescita del suo valore aggiunto (+0,9 per cento). </w:t>
      </w:r>
    </w:p>
    <w:p w14:paraId="127E8964" w14:textId="77777777" w:rsidR="005A7DB6" w:rsidRPr="005A7DB6" w:rsidRDefault="005A7DB6" w:rsidP="005A7DB6">
      <w:pPr>
        <w:rPr>
          <w:sz w:val="24"/>
          <w:szCs w:val="24"/>
        </w:rPr>
      </w:pPr>
      <w:r w:rsidRPr="005A7DB6">
        <w:rPr>
          <w:sz w:val="24"/>
          <w:szCs w:val="24"/>
        </w:rPr>
        <w:t xml:space="preserve">Sul lungo periodo, al termine dell’anno corrente, il valore aggiunto reale dell’industria risulterà superiore di solo l’8,8 per cento rispetto a quello del 2007, ovvero al livello massimo precedente la crisi finanziaria del 2009, a testimonianza del relativo indebolimento della capacità del settore di produrre reddito dalla sua attività. </w:t>
      </w:r>
    </w:p>
    <w:p w14:paraId="1B69806C" w14:textId="77777777" w:rsidR="005A7DB6" w:rsidRPr="005A7DB6" w:rsidRDefault="005A7DB6" w:rsidP="005A7DB6">
      <w:pPr>
        <w:rPr>
          <w:sz w:val="24"/>
          <w:szCs w:val="24"/>
        </w:rPr>
      </w:pPr>
      <w:r w:rsidRPr="005A7DB6">
        <w:rPr>
          <w:sz w:val="24"/>
          <w:szCs w:val="24"/>
        </w:rPr>
        <w:t xml:space="preserve">Nonostante la decisa revisione dei “bonus” a favore del settore e l’elevato costo dei finanziamenti, anche dopo l’avvio dell’allentamento della politica monetaria, la crescita del valore aggiunto delle costruzioni dovrebbe ancora accentuare decisamente la tendenza positiva nel corso del 2024 (+7,6 per cento). I fattori precedentemente elencati dovrebbero però condurre a un’inversione della tendenza per il valore aggiunto del settore che diverrà nettamente negativa nel 2025 portando le costruzioni in forte recessione (-7,4 per cento). </w:t>
      </w:r>
    </w:p>
    <w:p w14:paraId="39706077" w14:textId="77777777" w:rsidR="005A7DB6" w:rsidRPr="005A7DB6" w:rsidRDefault="005A7DB6" w:rsidP="005A7DB6">
      <w:pPr>
        <w:rPr>
          <w:sz w:val="24"/>
          <w:szCs w:val="24"/>
        </w:rPr>
      </w:pPr>
      <w:r w:rsidRPr="005A7DB6">
        <w:rPr>
          <w:sz w:val="24"/>
          <w:szCs w:val="24"/>
        </w:rPr>
        <w:t xml:space="preserve">Il settore delle costruzioni ha avuto nel lungo periodo un eccezionale andamento ciclico, non riesce a trovare un equilibrio proprio e vive in un alternarsi di bolle espansive, spesso determinate da decisioni politiche, e di successive crisi, alle quali la politica non è estranea. </w:t>
      </w:r>
    </w:p>
    <w:p w14:paraId="273175AC" w14:textId="77777777" w:rsidR="005A7DB6" w:rsidRPr="005A7DB6" w:rsidRDefault="005A7DB6" w:rsidP="005A7DB6">
      <w:pPr>
        <w:rPr>
          <w:sz w:val="24"/>
          <w:szCs w:val="24"/>
        </w:rPr>
      </w:pPr>
      <w:r w:rsidRPr="005A7DB6">
        <w:rPr>
          <w:sz w:val="24"/>
          <w:szCs w:val="24"/>
        </w:rPr>
        <w:t xml:space="preserve">A testimonianza di questo carattere, al termine dell’anno corrente il valore aggiunto delle costruzioni risulterà inferiore del 17,0 per cento rispetto ai livelli, chiaramente eccessivi, del precedente massimo toccato nel 2007 e superiore del 13,9 per cento rispetto al livello del 2000. </w:t>
      </w:r>
    </w:p>
    <w:p w14:paraId="2F7C030E" w14:textId="77777777" w:rsidR="005A7DB6" w:rsidRPr="005A7DB6" w:rsidRDefault="005A7DB6" w:rsidP="005A7DB6">
      <w:pPr>
        <w:rPr>
          <w:sz w:val="24"/>
          <w:szCs w:val="24"/>
        </w:rPr>
      </w:pPr>
      <w:r w:rsidRPr="005A7DB6">
        <w:rPr>
          <w:sz w:val="24"/>
          <w:szCs w:val="24"/>
        </w:rPr>
        <w:t xml:space="preserve">Il modello non ci permette di osservare in dettaglio i settori dei servizi che mostrano andamenti fortemente differenziati. </w:t>
      </w:r>
    </w:p>
    <w:p w14:paraId="438DF312" w14:textId="77777777" w:rsidR="005A7DB6" w:rsidRPr="005A7DB6" w:rsidRDefault="005A7DB6" w:rsidP="005A7DB6">
      <w:pPr>
        <w:rPr>
          <w:sz w:val="24"/>
          <w:szCs w:val="24"/>
        </w:rPr>
      </w:pPr>
      <w:r w:rsidRPr="005A7DB6">
        <w:rPr>
          <w:sz w:val="24"/>
          <w:szCs w:val="24"/>
        </w:rPr>
        <w:t xml:space="preserve">Nel 2024 il ritmo di crescita del valore aggiunto del complesso dei servizi dovrebbe ridursi lievemente (+1,2 per cento), per la debolezza dell’attività nell’industria, e il rallentamento della crescita dei consumi. Nel 2025 la ripresa dell’attività nell’industria e la contenuta crescita dei consumi, nonostante la debolezza delle costruzioni, permetteranno al valore aggiunto dei servizi di riprendere a crescere al ritmo dello scorso anno (+1,6 per cento), ciò che farà dei servizi la componente più dinamica dell’economia regionale. </w:t>
      </w:r>
    </w:p>
    <w:p w14:paraId="0E5816B7" w14:textId="37B2E237" w:rsidR="005A7DB6" w:rsidRDefault="005A7DB6" w:rsidP="005A7DB6">
      <w:pPr>
        <w:rPr>
          <w:sz w:val="24"/>
          <w:szCs w:val="24"/>
        </w:rPr>
      </w:pPr>
      <w:r w:rsidRPr="005A7DB6">
        <w:rPr>
          <w:sz w:val="24"/>
          <w:szCs w:val="24"/>
        </w:rPr>
        <w:t xml:space="preserve">Ma nel lungo periodo anche l’andamento del settore dei servizi mostra una crescita insoddisfacente. Il valore aggiunto del settore al termine di quest’anno supererà il livello del 2008, ovvero quello antecedente la crisi finanziaria dei sub-prime, di solo l’8,6 per cento e risulterà superiore del 18,8 per cento rispetto al livello del 2000. </w:t>
      </w:r>
    </w:p>
    <w:p w14:paraId="5A7BE8B5" w14:textId="77777777" w:rsidR="005A7DB6" w:rsidRPr="005A7DB6" w:rsidRDefault="005A7DB6" w:rsidP="005A7DB6">
      <w:pPr>
        <w:rPr>
          <w:sz w:val="24"/>
          <w:szCs w:val="24"/>
        </w:rPr>
      </w:pPr>
      <w:r w:rsidRPr="005A7DB6">
        <w:rPr>
          <w:sz w:val="24"/>
          <w:szCs w:val="24"/>
        </w:rPr>
        <w:t xml:space="preserve">Nel 2024 la crescita dell’occupazione supererà decisamente la stabilità delle forze lavoro e ciò permetterà una nuova diminuzione del tasso di disoccupazione. Lo stesso non dovrebbe accadere nel 2025 quando un nuovo aumento delle forze lavoro risulterà lievemente superiore a una più contenuta crescita dell’occupazione. Si avrà, quindi, un lieve rimbalzo del tasso di disoccupazione. </w:t>
      </w:r>
    </w:p>
    <w:p w14:paraId="5E9B463D" w14:textId="77777777" w:rsidR="005A7DB6" w:rsidRPr="005A7DB6" w:rsidRDefault="005A7DB6" w:rsidP="005A7DB6">
      <w:pPr>
        <w:rPr>
          <w:sz w:val="24"/>
          <w:szCs w:val="24"/>
        </w:rPr>
      </w:pPr>
      <w:r w:rsidRPr="005A7DB6">
        <w:rPr>
          <w:sz w:val="24"/>
          <w:szCs w:val="24"/>
        </w:rPr>
        <w:lastRenderedPageBreak/>
        <w:t xml:space="preserve">Le più recenti previsioni indicano una fase di stasi nell’andamento delle forze di lavoro nel 2024 tanto che al termine di quest’anno le forze di lavoro risulteranno ancora marginalmente inferiori a quelle del 2019 (-0,7 per cento). Nel 2025 la crescita delle forze di lavoro riprenderà (+0,7 per cento). Il tasso di attività calcolato come quota della forza lavoro sulla popolazione presente in età di lavoro nel 2024 dovrebbe quindi ridursi lievemente al 74,2 per cento, poi la sua crescita riprenderà nel 2025 giungendo al 74,7 per cento. </w:t>
      </w:r>
    </w:p>
    <w:p w14:paraId="05E26DE0" w14:textId="77777777" w:rsidR="005A7DB6" w:rsidRPr="005A7DB6" w:rsidRDefault="005A7DB6" w:rsidP="005A7DB6">
      <w:pPr>
        <w:rPr>
          <w:sz w:val="24"/>
          <w:szCs w:val="24"/>
        </w:rPr>
      </w:pPr>
      <w:r w:rsidRPr="005A7DB6">
        <w:rPr>
          <w:sz w:val="24"/>
          <w:szCs w:val="24"/>
        </w:rPr>
        <w:t>L’occupazione nel 2024 avrà un andamento positivo (+1,1 per cento), in linea con quello scorso anno. Ma il suo ritmo di crescita dovrebbe ridursi sostanzialmente nel 2025 (+0,4 per cento). Alla fine del 2024 l’occupazione risulterà leggermente superiore a quella riferita al 2019 (+0,9 per cento) e farà registrare un incremento del 12,4 per cento rispetto al livello del 2000. Il tasso di occupazione (calcolato come quota degli occupati sulla popolazione presente in età di lavoro) salirà nel 2024 tanto da giungere al 71,3 per cento, per poi aumentare nuovamente, ma solo lievemente, nel 2025 al 71,5 per cento, dato che costituisce il livello più elevato di sempre.</w:t>
      </w:r>
    </w:p>
    <w:p w14:paraId="21AC5E5A" w14:textId="5A9DEA70" w:rsidR="005A7DB6" w:rsidRPr="003A32C0" w:rsidRDefault="005A7DB6" w:rsidP="005A7DB6">
      <w:pPr>
        <w:rPr>
          <w:sz w:val="24"/>
          <w:szCs w:val="24"/>
        </w:rPr>
      </w:pPr>
      <w:r w:rsidRPr="005A7DB6">
        <w:rPr>
          <w:sz w:val="24"/>
          <w:szCs w:val="24"/>
        </w:rPr>
        <w:t>Il tasso di disoccupazione che era pari al 2,8 per cento nel 2002 ed è salito fino all’8,5 per cento nel 2013 è poi gradualmente ridisceso al 5,5 per cento nel 2019. Con la pandemia, le misure introdotte a sostegno all’occupazione e l’ampia fuoriuscita dal mercato del lavoro ne hanno contenuto l’aumento al 5,9 per cento nel 2020. Da allora è iniziata una fase di rientro. Una crescita dell’occupazione superiore a quella delle forze di lavoro dovrebbe condurre a un ulteriore decisa diminuzione del tasso di disoccupazione nel 2024 (3,9 per cento). Ma la tendenza dovrebbe subire un temporaneo arresto nel 2025, a causa di un deciso rallentamento della crescita dell’occupazione che avrà un ritmo inferiore a quello della forza lavoro e determinerà un lieve rimbalzo del tasso di disoccupazione fino al 4,2 per cento.</w:t>
      </w:r>
    </w:p>
    <w:sectPr w:rsidR="005A7DB6" w:rsidRPr="003A32C0" w:rsidSect="0018677F">
      <w:footerReference w:type="even" r:id="rId6"/>
      <w:footerReference w:type="default" r:id="rId7"/>
      <w:footnotePr>
        <w:numRestart w:val="eachSect"/>
      </w:footnotePr>
      <w:pgSz w:w="11907" w:h="16840" w:code="9"/>
      <w:pgMar w:top="1417" w:right="1134" w:bottom="1134" w:left="1134" w:header="567" w:footer="567" w:gutter="56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C0365" w14:textId="77777777" w:rsidR="008325CE" w:rsidRDefault="008325CE">
      <w:pPr>
        <w:spacing w:line="240" w:lineRule="auto"/>
      </w:pPr>
      <w:r>
        <w:separator/>
      </w:r>
    </w:p>
  </w:endnote>
  <w:endnote w:type="continuationSeparator" w:id="0">
    <w:p w14:paraId="52CE16F9" w14:textId="77777777" w:rsidR="008325CE" w:rsidRDefault="008325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0ED3C" w14:textId="77777777" w:rsidR="00BD336F" w:rsidRDefault="00000000" w:rsidP="00785036">
    <w:pPr>
      <w:pStyle w:val="Pidipagina"/>
      <w:framePr w:wrap="around" w:vAnchor="text" w:hAnchor="margin" w:xAlign="outside" w:y="1"/>
      <w:jc w:val="left"/>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51E9D37D" w14:textId="77777777" w:rsidR="00BD336F" w:rsidRDefault="00BD336F" w:rsidP="00EC7F1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8EC64" w14:textId="77777777" w:rsidR="00BD336F" w:rsidRDefault="00000000" w:rsidP="00EC7F1C">
    <w:pPr>
      <w:pStyle w:val="Intestazione"/>
      <w:framePr w:wrap="around" w:vAnchor="text" w:hAnchor="margin" w:xAlign="right" w:y="1"/>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w:t>
    </w:r>
    <w:r>
      <w:rPr>
        <w:rStyle w:val="Numeropagina"/>
      </w:rPr>
      <w:fldChar w:fldCharType="end"/>
    </w:r>
  </w:p>
  <w:p w14:paraId="2B2167E9" w14:textId="77777777" w:rsidR="00BD336F" w:rsidRDefault="00BD336F" w:rsidP="00EC7F1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5410E" w14:textId="77777777" w:rsidR="008325CE" w:rsidRDefault="008325CE">
      <w:pPr>
        <w:spacing w:line="240" w:lineRule="auto"/>
      </w:pPr>
      <w:r>
        <w:separator/>
      </w:r>
    </w:p>
  </w:footnote>
  <w:footnote w:type="continuationSeparator" w:id="0">
    <w:p w14:paraId="2263FD13" w14:textId="77777777" w:rsidR="008325CE" w:rsidRDefault="008325C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2C0"/>
    <w:rsid w:val="00095DCB"/>
    <w:rsid w:val="00356AE8"/>
    <w:rsid w:val="003A32C0"/>
    <w:rsid w:val="004F5899"/>
    <w:rsid w:val="005A7DB6"/>
    <w:rsid w:val="006E05C1"/>
    <w:rsid w:val="00810EF7"/>
    <w:rsid w:val="008325CE"/>
    <w:rsid w:val="009C76AE"/>
    <w:rsid w:val="00BD336F"/>
    <w:rsid w:val="00CB3582"/>
    <w:rsid w:val="00D67CF3"/>
    <w:rsid w:val="00DF7F33"/>
    <w:rsid w:val="00ED10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417DD"/>
  <w15:chartTrackingRefBased/>
  <w15:docId w15:val="{580C7FCE-0FF4-4A13-AE8E-093B1E736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F7F33"/>
    <w:pPr>
      <w:spacing w:after="0" w:line="240" w:lineRule="atLeast"/>
      <w:ind w:firstLine="227"/>
      <w:jc w:val="both"/>
    </w:pPr>
    <w:rPr>
      <w:rFonts w:ascii="Arial" w:eastAsia="Times New Roman" w:hAnsi="Arial" w:cs="Times New Roman"/>
      <w:kern w:val="0"/>
      <w:sz w:val="20"/>
      <w:szCs w:val="20"/>
      <w:lang w:eastAsia="it-IT"/>
      <w14:ligatures w14:val="none"/>
    </w:rPr>
  </w:style>
  <w:style w:type="paragraph" w:styleId="Titolo1">
    <w:name w:val="heading 1"/>
    <w:basedOn w:val="Normale"/>
    <w:next w:val="Titolo2"/>
    <w:link w:val="Titolo1Carattere"/>
    <w:qFormat/>
    <w:rsid w:val="00DF7F33"/>
    <w:pPr>
      <w:keepNext/>
      <w:keepLines/>
      <w:tabs>
        <w:tab w:val="left" w:pos="851"/>
      </w:tabs>
      <w:spacing w:after="1680"/>
      <w:ind w:left="851" w:hanging="851"/>
      <w:jc w:val="left"/>
      <w:outlineLvl w:val="0"/>
    </w:pPr>
    <w:rPr>
      <w:b/>
      <w:color w:val="800000"/>
      <w:sz w:val="32"/>
    </w:rPr>
  </w:style>
  <w:style w:type="paragraph" w:styleId="Titolo2">
    <w:name w:val="heading 2"/>
    <w:basedOn w:val="Normale"/>
    <w:next w:val="Normale"/>
    <w:link w:val="Titolo2Carattere"/>
    <w:qFormat/>
    <w:rsid w:val="00DF7F33"/>
    <w:pPr>
      <w:keepNext/>
      <w:keepLines/>
      <w:tabs>
        <w:tab w:val="left" w:pos="737"/>
      </w:tabs>
      <w:spacing w:before="480" w:after="240"/>
      <w:ind w:left="737" w:hanging="737"/>
      <w:jc w:val="left"/>
      <w:outlineLvl w:val="1"/>
    </w:pPr>
    <w:rPr>
      <w:b/>
      <w:color w:val="800000"/>
    </w:rPr>
  </w:style>
  <w:style w:type="paragraph" w:styleId="Titolo3">
    <w:name w:val="heading 3"/>
    <w:basedOn w:val="Titolo2"/>
    <w:next w:val="Normale"/>
    <w:link w:val="Titolo3Carattere"/>
    <w:qFormat/>
    <w:rsid w:val="00DF7F33"/>
    <w:pPr>
      <w:tabs>
        <w:tab w:val="clear" w:pos="737"/>
        <w:tab w:val="left" w:pos="851"/>
      </w:tabs>
      <w:ind w:left="851" w:hanging="851"/>
      <w:outlineLvl w:val="2"/>
    </w:pPr>
    <w:rPr>
      <w:b w:val="0"/>
      <w:i/>
    </w:rPr>
  </w:style>
  <w:style w:type="paragraph" w:styleId="Titolo4">
    <w:name w:val="heading 4"/>
    <w:basedOn w:val="Titolo3"/>
    <w:next w:val="Normale"/>
    <w:link w:val="Titolo4Carattere"/>
    <w:qFormat/>
    <w:rsid w:val="00DF7F33"/>
    <w:pPr>
      <w:tabs>
        <w:tab w:val="clear" w:pos="851"/>
        <w:tab w:val="left" w:pos="1021"/>
      </w:tabs>
      <w:spacing w:before="240" w:after="0"/>
      <w:ind w:left="1021" w:hanging="1021"/>
      <w:outlineLvl w:val="3"/>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3A32C0"/>
    <w:rPr>
      <w:rFonts w:ascii="Arial" w:eastAsia="Times New Roman" w:hAnsi="Arial" w:cs="Times New Roman"/>
      <w:b/>
      <w:color w:val="800000"/>
      <w:kern w:val="0"/>
      <w:sz w:val="20"/>
      <w:szCs w:val="20"/>
      <w:lang w:eastAsia="it-IT"/>
      <w14:ligatures w14:val="none"/>
    </w:rPr>
  </w:style>
  <w:style w:type="paragraph" w:styleId="Intestazione">
    <w:name w:val="header"/>
    <w:basedOn w:val="Normale"/>
    <w:link w:val="IntestazioneCarattere"/>
    <w:rsid w:val="00DF7F33"/>
    <w:pPr>
      <w:tabs>
        <w:tab w:val="center" w:pos="4819"/>
        <w:tab w:val="right" w:pos="9638"/>
      </w:tabs>
      <w:ind w:firstLine="0"/>
    </w:pPr>
  </w:style>
  <w:style w:type="character" w:customStyle="1" w:styleId="IntestazioneCarattere">
    <w:name w:val="Intestazione Carattere"/>
    <w:link w:val="Intestazione"/>
    <w:rsid w:val="00DF7F33"/>
    <w:rPr>
      <w:rFonts w:ascii="Arial" w:eastAsia="Times New Roman" w:hAnsi="Arial" w:cs="Times New Roman"/>
      <w:kern w:val="0"/>
      <w:sz w:val="20"/>
      <w:szCs w:val="20"/>
      <w:lang w:eastAsia="it-IT"/>
      <w14:ligatures w14:val="none"/>
    </w:rPr>
  </w:style>
  <w:style w:type="character" w:styleId="Numeropagina">
    <w:name w:val="page number"/>
    <w:rsid w:val="00DF7F33"/>
    <w:rPr>
      <w:rFonts w:ascii="Arial" w:hAnsi="Arial"/>
      <w:sz w:val="20"/>
    </w:rPr>
  </w:style>
  <w:style w:type="paragraph" w:styleId="Pidipagina">
    <w:name w:val="footer"/>
    <w:basedOn w:val="Normale"/>
    <w:link w:val="PidipaginaCarattere"/>
    <w:rsid w:val="00DF7F33"/>
    <w:pPr>
      <w:tabs>
        <w:tab w:val="center" w:pos="4819"/>
        <w:tab w:val="right" w:pos="9638"/>
      </w:tabs>
      <w:ind w:firstLine="0"/>
      <w:jc w:val="center"/>
    </w:pPr>
    <w:rPr>
      <w:caps/>
    </w:rPr>
  </w:style>
  <w:style w:type="character" w:customStyle="1" w:styleId="PidipaginaCarattere">
    <w:name w:val="Piè di pagina Carattere"/>
    <w:link w:val="Pidipagina"/>
    <w:rsid w:val="00DF7F33"/>
    <w:rPr>
      <w:rFonts w:ascii="Arial" w:eastAsia="Times New Roman" w:hAnsi="Arial" w:cs="Times New Roman"/>
      <w:caps/>
      <w:kern w:val="0"/>
      <w:sz w:val="20"/>
      <w:szCs w:val="20"/>
      <w:lang w:eastAsia="it-IT"/>
      <w14:ligatures w14:val="none"/>
    </w:rPr>
  </w:style>
  <w:style w:type="paragraph" w:customStyle="1" w:styleId="autori">
    <w:name w:val="autori"/>
    <w:basedOn w:val="Normale"/>
    <w:rsid w:val="00DF7F33"/>
    <w:pPr>
      <w:ind w:left="57" w:right="57" w:firstLine="0"/>
      <w:jc w:val="left"/>
    </w:pPr>
    <w:rPr>
      <w:color w:val="800000"/>
      <w:sz w:val="18"/>
    </w:rPr>
  </w:style>
  <w:style w:type="paragraph" w:customStyle="1" w:styleId="TabTitolo">
    <w:name w:val="Tab Titolo"/>
    <w:basedOn w:val="Normale"/>
    <w:rsid w:val="00DF7F33"/>
    <w:pPr>
      <w:keepNext/>
      <w:keepLines/>
      <w:tabs>
        <w:tab w:val="left" w:pos="907"/>
      </w:tabs>
      <w:spacing w:after="80" w:line="240" w:lineRule="auto"/>
      <w:ind w:left="907" w:hanging="907"/>
      <w:jc w:val="left"/>
    </w:pPr>
    <w:rPr>
      <w:i/>
      <w:color w:val="800000"/>
      <w:sz w:val="16"/>
    </w:rPr>
  </w:style>
  <w:style w:type="paragraph" w:customStyle="1" w:styleId="FigTitolo">
    <w:name w:val="Fig Titolo"/>
    <w:basedOn w:val="TabTitolo"/>
    <w:rsid w:val="00DF7F33"/>
    <w:pPr>
      <w:spacing w:after="0"/>
    </w:pPr>
  </w:style>
  <w:style w:type="paragraph" w:customStyle="1" w:styleId="Figure">
    <w:name w:val="Figure"/>
    <w:basedOn w:val="Normale"/>
    <w:next w:val="Normale"/>
    <w:rsid w:val="00DF7F33"/>
    <w:pPr>
      <w:keepLines/>
      <w:spacing w:line="240" w:lineRule="auto"/>
      <w:ind w:firstLine="0"/>
      <w:jc w:val="center"/>
    </w:pPr>
    <w:rPr>
      <w:sz w:val="16"/>
    </w:rPr>
  </w:style>
  <w:style w:type="paragraph" w:customStyle="1" w:styleId="TabNoteSuperiori">
    <w:name w:val="Tab Note Superiori"/>
    <w:basedOn w:val="Normale"/>
    <w:rsid w:val="00DF7F33"/>
    <w:pPr>
      <w:keepLines/>
      <w:spacing w:before="60" w:line="240" w:lineRule="auto"/>
      <w:ind w:firstLine="0"/>
    </w:pPr>
    <w:rPr>
      <w:sz w:val="16"/>
    </w:rPr>
  </w:style>
  <w:style w:type="paragraph" w:customStyle="1" w:styleId="TabNoteInferiori">
    <w:name w:val="Tab Note Inferiori"/>
    <w:basedOn w:val="TabNoteSuperiori"/>
    <w:rsid w:val="00DF7F33"/>
    <w:pPr>
      <w:spacing w:before="0"/>
    </w:pPr>
  </w:style>
  <w:style w:type="paragraph" w:customStyle="1" w:styleId="Fineoggettoword">
    <w:name w:val="Fine oggetto word"/>
    <w:basedOn w:val="TabNoteInferiori"/>
    <w:rsid w:val="00DF7F33"/>
    <w:rPr>
      <w:i/>
      <w:sz w:val="12"/>
    </w:rPr>
  </w:style>
  <w:style w:type="paragraph" w:customStyle="1" w:styleId="Intestazionecorsivo">
    <w:name w:val="Intestazione corsivo"/>
    <w:basedOn w:val="Normale"/>
    <w:rsid w:val="00DF7F33"/>
    <w:pPr>
      <w:ind w:left="357" w:right="357" w:firstLine="0"/>
      <w:jc w:val="center"/>
    </w:pPr>
    <w:rPr>
      <w:i/>
      <w:noProof/>
      <w:sz w:val="16"/>
    </w:rPr>
  </w:style>
  <w:style w:type="paragraph" w:customStyle="1" w:styleId="Introduzionenormalecorsivo">
    <w:name w:val="Introduzione normale corsivo"/>
    <w:basedOn w:val="Normale"/>
    <w:qFormat/>
    <w:rsid w:val="00DF7F33"/>
    <w:pPr>
      <w:spacing w:line="360" w:lineRule="auto"/>
    </w:pPr>
    <w:rPr>
      <w:rFonts w:cs="Arial"/>
      <w:i/>
    </w:rPr>
  </w:style>
  <w:style w:type="paragraph" w:customStyle="1" w:styleId="Pidipaginacorsivo">
    <w:name w:val="Piè di pagina corsivo"/>
    <w:basedOn w:val="Normale"/>
    <w:rsid w:val="00DF7F33"/>
    <w:pPr>
      <w:ind w:firstLine="0"/>
      <w:jc w:val="center"/>
    </w:pPr>
    <w:rPr>
      <w:i/>
      <w:sz w:val="16"/>
    </w:rPr>
  </w:style>
  <w:style w:type="paragraph" w:styleId="Rientronormale">
    <w:name w:val="Normal Indent"/>
    <w:basedOn w:val="Normale"/>
    <w:rsid w:val="00DF7F33"/>
    <w:pPr>
      <w:ind w:left="567" w:hanging="340"/>
    </w:pPr>
  </w:style>
  <w:style w:type="character" w:styleId="Rimandonotaapidipagina">
    <w:name w:val="footnote reference"/>
    <w:semiHidden/>
    <w:rsid w:val="00DF7F33"/>
    <w:rPr>
      <w:vertAlign w:val="superscript"/>
    </w:rPr>
  </w:style>
  <w:style w:type="paragraph" w:styleId="Sommario1">
    <w:name w:val="toc 1"/>
    <w:basedOn w:val="Normale"/>
    <w:next w:val="Normale"/>
    <w:autoRedefine/>
    <w:semiHidden/>
    <w:rsid w:val="00DF7F33"/>
  </w:style>
  <w:style w:type="paragraph" w:customStyle="1" w:styleId="Stileapprofnormale10ptGrassettoRossoscuroSinistro0">
    <w:name w:val="Stile approf_normale + 10 pt Grassetto Rosso scuro Sinistro:  0 ..."/>
    <w:basedOn w:val="Normale"/>
    <w:rsid w:val="00DF7F33"/>
    <w:pPr>
      <w:ind w:left="170" w:right="170" w:firstLine="0"/>
    </w:pPr>
    <w:rPr>
      <w:b/>
      <w:bCs/>
      <w:color w:val="800000"/>
    </w:rPr>
  </w:style>
  <w:style w:type="paragraph" w:customStyle="1" w:styleId="TabEtichette">
    <w:name w:val="Tab Etichette"/>
    <w:basedOn w:val="Normale"/>
    <w:rsid w:val="00DF7F33"/>
    <w:pPr>
      <w:keepLines/>
      <w:spacing w:line="240" w:lineRule="auto"/>
      <w:ind w:firstLine="0"/>
      <w:jc w:val="left"/>
    </w:pPr>
    <w:rPr>
      <w:sz w:val="16"/>
    </w:rPr>
  </w:style>
  <w:style w:type="paragraph" w:customStyle="1" w:styleId="TabEtichInferiori">
    <w:name w:val="Tab Etich Inferiori"/>
    <w:basedOn w:val="TabEtichette"/>
    <w:rsid w:val="00DF7F33"/>
    <w:pPr>
      <w:spacing w:after="40"/>
    </w:pPr>
  </w:style>
  <w:style w:type="paragraph" w:customStyle="1" w:styleId="TabEtichSuperiori">
    <w:name w:val="Tab Etich Superiori"/>
    <w:basedOn w:val="TabEtichette"/>
    <w:rsid w:val="00DF7F33"/>
    <w:pPr>
      <w:spacing w:before="40"/>
    </w:pPr>
  </w:style>
  <w:style w:type="paragraph" w:customStyle="1" w:styleId="TabIntestazioni">
    <w:name w:val="Tab Intestazioni"/>
    <w:basedOn w:val="Normale"/>
    <w:rsid w:val="00DF7F33"/>
    <w:pPr>
      <w:keepNext/>
      <w:keepLines/>
      <w:spacing w:before="80" w:after="80" w:line="240" w:lineRule="auto"/>
      <w:ind w:firstLine="0"/>
      <w:jc w:val="center"/>
    </w:pPr>
    <w:rPr>
      <w:i/>
      <w:sz w:val="16"/>
    </w:rPr>
  </w:style>
  <w:style w:type="paragraph" w:customStyle="1" w:styleId="TabIntestazCentro">
    <w:name w:val="Tab Intestaz Centro"/>
    <w:basedOn w:val="TabIntestazioni"/>
    <w:rsid w:val="00DF7F33"/>
    <w:pPr>
      <w:spacing w:before="0" w:after="20"/>
    </w:pPr>
  </w:style>
  <w:style w:type="paragraph" w:customStyle="1" w:styleId="TabIntestaCentroBordo">
    <w:name w:val="Tab Intesta Centro Bordo"/>
    <w:basedOn w:val="TabIntestazCentro"/>
    <w:rsid w:val="00DF7F33"/>
    <w:pPr>
      <w:pBdr>
        <w:bottom w:val="single" w:sz="4" w:space="1" w:color="auto"/>
      </w:pBdr>
      <w:ind w:left="57" w:right="57"/>
    </w:pPr>
  </w:style>
  <w:style w:type="paragraph" w:customStyle="1" w:styleId="TabIntestaInf">
    <w:name w:val="Tab Intesta Inf"/>
    <w:basedOn w:val="TabIntestazioni"/>
    <w:rsid w:val="00DF7F33"/>
    <w:pPr>
      <w:spacing w:before="0" w:after="60"/>
    </w:pPr>
  </w:style>
  <w:style w:type="paragraph" w:customStyle="1" w:styleId="TabIntestaSup">
    <w:name w:val="Tab Intesta Sup"/>
    <w:basedOn w:val="TabIntestazioni"/>
    <w:rsid w:val="00DF7F33"/>
    <w:pPr>
      <w:spacing w:before="60" w:after="20"/>
    </w:pPr>
  </w:style>
  <w:style w:type="paragraph" w:customStyle="1" w:styleId="TabIntestaSupBordo">
    <w:name w:val="Tab Intesta Sup Bordo"/>
    <w:basedOn w:val="TabIntestaSup"/>
    <w:rsid w:val="00DF7F33"/>
    <w:pPr>
      <w:pBdr>
        <w:bottom w:val="single" w:sz="4" w:space="1" w:color="auto"/>
      </w:pBdr>
      <w:ind w:left="57" w:right="57"/>
    </w:pPr>
  </w:style>
  <w:style w:type="paragraph" w:customStyle="1" w:styleId="TabNumeri">
    <w:name w:val="Tab Numeri"/>
    <w:basedOn w:val="Normale"/>
    <w:rsid w:val="00DF7F33"/>
    <w:pPr>
      <w:keepLines/>
      <w:spacing w:line="240" w:lineRule="auto"/>
      <w:ind w:firstLine="0"/>
      <w:jc w:val="right"/>
    </w:pPr>
    <w:rPr>
      <w:sz w:val="16"/>
    </w:rPr>
  </w:style>
  <w:style w:type="paragraph" w:customStyle="1" w:styleId="TabNumInferiori">
    <w:name w:val="Tab Num Inferiori"/>
    <w:basedOn w:val="TabNumeri"/>
    <w:rsid w:val="00DF7F33"/>
    <w:pPr>
      <w:spacing w:after="40"/>
    </w:pPr>
  </w:style>
  <w:style w:type="paragraph" w:customStyle="1" w:styleId="TabNumSuperiori">
    <w:name w:val="Tab Num Superiori"/>
    <w:basedOn w:val="TabNumeri"/>
    <w:rsid w:val="00DF7F33"/>
    <w:pPr>
      <w:spacing w:before="40"/>
    </w:pPr>
  </w:style>
  <w:style w:type="paragraph" w:customStyle="1" w:styleId="TabSeparazioni">
    <w:name w:val="Tab Separazioni"/>
    <w:basedOn w:val="Normale"/>
    <w:rsid w:val="00DF7F33"/>
    <w:pPr>
      <w:keepNext/>
      <w:keepLines/>
      <w:spacing w:before="80" w:line="240" w:lineRule="auto"/>
      <w:ind w:firstLine="0"/>
      <w:jc w:val="left"/>
    </w:pPr>
    <w:rPr>
      <w:b/>
      <w:sz w:val="16"/>
    </w:rPr>
  </w:style>
  <w:style w:type="paragraph" w:styleId="Testofumetto">
    <w:name w:val="Balloon Text"/>
    <w:basedOn w:val="Normale"/>
    <w:link w:val="TestofumettoCarattere"/>
    <w:rsid w:val="00DF7F33"/>
    <w:pPr>
      <w:spacing w:line="240" w:lineRule="auto"/>
    </w:pPr>
    <w:rPr>
      <w:rFonts w:ascii="Tahoma" w:hAnsi="Tahoma" w:cs="Tahoma"/>
      <w:sz w:val="16"/>
      <w:szCs w:val="16"/>
    </w:rPr>
  </w:style>
  <w:style w:type="character" w:customStyle="1" w:styleId="TestofumettoCarattere">
    <w:name w:val="Testo fumetto Carattere"/>
    <w:link w:val="Testofumetto"/>
    <w:rsid w:val="00DF7F33"/>
    <w:rPr>
      <w:rFonts w:ascii="Tahoma" w:eastAsia="Times New Roman" w:hAnsi="Tahoma" w:cs="Tahoma"/>
      <w:kern w:val="0"/>
      <w:sz w:val="16"/>
      <w:szCs w:val="16"/>
      <w:lang w:eastAsia="it-IT"/>
      <w14:ligatures w14:val="none"/>
    </w:rPr>
  </w:style>
  <w:style w:type="paragraph" w:styleId="Testonotaapidipagina">
    <w:name w:val="footnote text"/>
    <w:basedOn w:val="Normale"/>
    <w:link w:val="TestonotaapidipaginaCarattere"/>
    <w:semiHidden/>
    <w:rsid w:val="00DF7F33"/>
    <w:pPr>
      <w:spacing w:before="60" w:line="200" w:lineRule="atLeast"/>
    </w:pPr>
    <w:rPr>
      <w:sz w:val="16"/>
    </w:rPr>
  </w:style>
  <w:style w:type="character" w:customStyle="1" w:styleId="TestonotaapidipaginaCarattere">
    <w:name w:val="Testo nota a piè di pagina Carattere"/>
    <w:basedOn w:val="Carpredefinitoparagrafo"/>
    <w:link w:val="Testonotaapidipagina"/>
    <w:semiHidden/>
    <w:rsid w:val="00DF7F33"/>
    <w:rPr>
      <w:rFonts w:ascii="Arial" w:eastAsia="Times New Roman" w:hAnsi="Arial" w:cs="Times New Roman"/>
      <w:kern w:val="0"/>
      <w:sz w:val="16"/>
      <w:szCs w:val="20"/>
      <w:lang w:eastAsia="it-IT"/>
      <w14:ligatures w14:val="none"/>
    </w:rPr>
  </w:style>
  <w:style w:type="character" w:customStyle="1" w:styleId="Titolo1Carattere">
    <w:name w:val="Titolo 1 Carattere"/>
    <w:basedOn w:val="Carpredefinitoparagrafo"/>
    <w:link w:val="Titolo1"/>
    <w:rsid w:val="00DF7F33"/>
    <w:rPr>
      <w:rFonts w:ascii="Arial" w:eastAsia="Times New Roman" w:hAnsi="Arial" w:cs="Times New Roman"/>
      <w:b/>
      <w:color w:val="800000"/>
      <w:kern w:val="0"/>
      <w:sz w:val="32"/>
      <w:szCs w:val="20"/>
      <w:lang w:eastAsia="it-IT"/>
      <w14:ligatures w14:val="none"/>
    </w:rPr>
  </w:style>
  <w:style w:type="character" w:customStyle="1" w:styleId="Titolo3Carattere">
    <w:name w:val="Titolo 3 Carattere"/>
    <w:basedOn w:val="Carpredefinitoparagrafo"/>
    <w:link w:val="Titolo3"/>
    <w:rsid w:val="00DF7F33"/>
    <w:rPr>
      <w:rFonts w:ascii="Arial" w:eastAsia="Times New Roman" w:hAnsi="Arial" w:cs="Times New Roman"/>
      <w:i/>
      <w:color w:val="800000"/>
      <w:kern w:val="0"/>
      <w:sz w:val="20"/>
      <w:szCs w:val="20"/>
      <w:lang w:eastAsia="it-IT"/>
      <w14:ligatures w14:val="none"/>
    </w:rPr>
  </w:style>
  <w:style w:type="character" w:customStyle="1" w:styleId="Titolo4Carattere">
    <w:name w:val="Titolo 4 Carattere"/>
    <w:basedOn w:val="Carpredefinitoparagrafo"/>
    <w:link w:val="Titolo4"/>
    <w:rsid w:val="00DF7F33"/>
    <w:rPr>
      <w:rFonts w:ascii="Arial" w:eastAsia="Times New Roman" w:hAnsi="Arial" w:cs="Times New Roman"/>
      <w:i/>
      <w:color w:val="800000"/>
      <w:kern w:val="0"/>
      <w:sz w:val="20"/>
      <w:szCs w:val="20"/>
      <w:lang w:eastAsia="it-IT"/>
      <w14:ligatures w14:val="none"/>
    </w:rPr>
  </w:style>
  <w:style w:type="paragraph" w:customStyle="1" w:styleId="TitoloParte">
    <w:name w:val="Titolo Parte"/>
    <w:basedOn w:val="Titolo1"/>
    <w:rsid w:val="00DF7F33"/>
    <w:rPr>
      <w:cap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z_sistema\m_modelli\rap_eco_reg.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rap_eco_reg.dotx</Template>
  <TotalTime>6</TotalTime>
  <Pages>6</Pages>
  <Words>3164</Words>
  <Characters>18039</Characters>
  <Application>Microsoft Office Word</Application>
  <DocSecurity>0</DocSecurity>
  <Lines>150</Lines>
  <Paragraphs>42</Paragraphs>
  <ScaleCrop>false</ScaleCrop>
  <Company/>
  <LinksUpToDate>false</LinksUpToDate>
  <CharactersWithSpaces>21161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Casadio</dc:creator>
  <cp:keywords/>
  <dc:description/>
  <cp:lastModifiedBy>Mauro Guaitoli</cp:lastModifiedBy>
  <cp:revision>6</cp:revision>
  <dcterms:created xsi:type="dcterms:W3CDTF">2024-11-06T10:41:00Z</dcterms:created>
  <dcterms:modified xsi:type="dcterms:W3CDTF">2024-11-20T17:34:00Z</dcterms:modified>
</cp:coreProperties>
</file>